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E5703">
      <w:pPr>
        <w:pStyle w:val="2"/>
        <w:spacing w:after="156" w:afterLines="50"/>
        <w:jc w:val="center"/>
      </w:pPr>
      <w:r>
        <w:rPr>
          <w:rFonts w:hint="eastAsia" w:ascii="楷体" w:hAnsi="楷体" w:eastAsia="楷体" w:cs="楷体"/>
          <w:b w:val="0"/>
          <w:bCs w:val="0"/>
          <w:sz w:val="32"/>
          <w:szCs w:val="32"/>
        </w:rPr>
        <w:t>武汉理工大学2026年出版专业硕士研究生入学考试</w:t>
      </w:r>
    </w:p>
    <w:p w14:paraId="7AFB96C5">
      <w:pPr>
        <w:pStyle w:val="2"/>
        <w:spacing w:after="156" w:afterLines="50"/>
        <w:jc w:val="center"/>
        <w:rPr>
          <w:rFonts w:ascii="黑体" w:hAnsi="黑体" w:eastAsia="黑体" w:cs="黑体"/>
          <w:sz w:val="32"/>
          <w:szCs w:val="32"/>
        </w:rPr>
      </w:pPr>
      <w:r>
        <w:rPr>
          <w:rFonts w:hint="eastAsia" w:ascii="黑体" w:hAnsi="黑体" w:eastAsia="黑体" w:cs="黑体"/>
          <w:sz w:val="32"/>
          <w:szCs w:val="32"/>
        </w:rPr>
        <w:t>《出版</w:t>
      </w:r>
      <w:r>
        <w:rPr>
          <w:rFonts w:hint="eastAsia" w:ascii="黑体" w:hAnsi="黑体" w:eastAsia="黑体" w:cs="黑体"/>
          <w:sz w:val="32"/>
          <w:szCs w:val="32"/>
          <w:lang w:val="en-US" w:eastAsia="zh-CN"/>
        </w:rPr>
        <w:t>综合素质与能力</w:t>
      </w:r>
      <w:r>
        <w:rPr>
          <w:rFonts w:hint="eastAsia" w:ascii="黑体" w:hAnsi="黑体" w:eastAsia="黑体" w:cs="黑体"/>
          <w:sz w:val="32"/>
          <w:szCs w:val="32"/>
        </w:rPr>
        <w:t>》考试大纲</w:t>
      </w:r>
    </w:p>
    <w:p w14:paraId="03528A37">
      <w:pPr>
        <w:pStyle w:val="3"/>
        <w:spacing w:after="156" w:afterLines="50"/>
        <w:jc w:val="center"/>
      </w:pPr>
      <w:r>
        <w:rPr>
          <w:rFonts w:hint="eastAsia" w:ascii="黑体" w:hAnsi="黑体" w:eastAsia="黑体" w:cs="黑体"/>
          <w:sz w:val="28"/>
          <w:szCs w:val="28"/>
        </w:rPr>
        <w:t>第一部分 考试说明</w:t>
      </w:r>
    </w:p>
    <w:p w14:paraId="6A03AEBA">
      <w:pPr>
        <w:pStyle w:val="4"/>
      </w:pPr>
      <w:r>
        <w:rPr>
          <w:rFonts w:hint="eastAsia"/>
        </w:rPr>
        <w:t>一、考试性质</w:t>
      </w:r>
    </w:p>
    <w:p w14:paraId="7DF70864">
      <w:pPr>
        <w:spacing w:after="156" w:afterLines="50" w:line="360" w:lineRule="auto"/>
        <w:ind w:firstLine="480" w:firstLineChars="200"/>
      </w:pPr>
      <w:r>
        <w:rPr>
          <w:rFonts w:hint="eastAsia"/>
        </w:rPr>
        <w:t>《出版</w:t>
      </w:r>
      <w:r>
        <w:rPr>
          <w:rFonts w:hint="eastAsia"/>
          <w:lang w:val="en-US" w:eastAsia="zh-CN"/>
        </w:rPr>
        <w:t>综合素质与能力</w:t>
      </w:r>
      <w:r>
        <w:rPr>
          <w:rFonts w:hint="eastAsia"/>
        </w:rPr>
        <w:t>》是出版专业型硕士研究生入学必考的重要科目，旨在考察考生是否掌握出版实践专业知识和技能，具备符合现代出版业发展需要的政策意识、职业伦理、流程规范、技术基础与行业储备，了解编辑、策划、管理、传播等业务流程及核心工作，以及能否综合运用管理、经济、法律等知识分析、解决出版领域实际问题。通过该科目考试以保证被录取者具有较为扎实的出版专业知识与素质，为进一步培养热爱出版事业、适应出版产业发展、胜任出版工作的高层次、应用型、复合型出版专门人才奠定基础。</w:t>
      </w:r>
    </w:p>
    <w:p w14:paraId="39E4EE62">
      <w:pPr>
        <w:pStyle w:val="4"/>
      </w:pPr>
      <w:r>
        <w:rPr>
          <w:rFonts w:hint="eastAsia"/>
        </w:rPr>
        <w:t>二、考试形式与试卷结构</w:t>
      </w:r>
    </w:p>
    <w:p w14:paraId="779CF81F">
      <w:pPr>
        <w:spacing w:after="156" w:afterLines="50" w:line="360" w:lineRule="auto"/>
      </w:pPr>
      <w:r>
        <w:rPr>
          <w:rFonts w:hint="eastAsia"/>
          <w:b/>
          <w:bCs/>
        </w:rPr>
        <w:t>（一）答卷方式：</w:t>
      </w:r>
      <w:r>
        <w:rPr>
          <w:rFonts w:hint="eastAsia"/>
        </w:rPr>
        <w:t>闭卷，笔试</w:t>
      </w:r>
    </w:p>
    <w:p w14:paraId="2AFFFF67">
      <w:pPr>
        <w:spacing w:after="156" w:afterLines="50" w:line="360" w:lineRule="auto"/>
      </w:pPr>
      <w:r>
        <w:rPr>
          <w:rFonts w:hint="eastAsia"/>
          <w:b/>
          <w:bCs/>
        </w:rPr>
        <w:t>（二）答题时间：</w:t>
      </w:r>
      <w:r>
        <w:rPr>
          <w:rFonts w:hint="eastAsia"/>
        </w:rPr>
        <w:t>180分钟</w:t>
      </w:r>
    </w:p>
    <w:p w14:paraId="49F0C58E">
      <w:pPr>
        <w:spacing w:after="156" w:afterLines="50" w:line="360" w:lineRule="auto"/>
      </w:pPr>
      <w:r>
        <w:rPr>
          <w:rFonts w:hint="eastAsia"/>
          <w:b/>
          <w:bCs/>
        </w:rPr>
        <w:t>（三）试卷满分：</w:t>
      </w:r>
      <w:r>
        <w:rPr>
          <w:rFonts w:hint="eastAsia"/>
        </w:rPr>
        <w:t>150分</w:t>
      </w:r>
    </w:p>
    <w:p w14:paraId="3BA22CE2">
      <w:pPr>
        <w:spacing w:after="156" w:afterLines="50" w:line="360" w:lineRule="auto"/>
        <w:rPr>
          <w:b/>
          <w:bCs/>
        </w:rPr>
      </w:pPr>
      <w:r>
        <w:rPr>
          <w:rFonts w:hint="eastAsia"/>
          <w:b/>
          <w:bCs/>
        </w:rPr>
        <w:t>（四）题型与所占分值比例</w:t>
      </w:r>
    </w:p>
    <w:p w14:paraId="40B89A1E">
      <w:pPr>
        <w:spacing w:after="156" w:afterLines="50" w:line="360" w:lineRule="auto"/>
        <w:ind w:firstLine="480" w:firstLineChars="200"/>
      </w:pPr>
      <w:r>
        <w:rPr>
          <w:rFonts w:hint="eastAsia"/>
        </w:rPr>
        <w:t>1. 填空题：约占20%</w:t>
      </w:r>
    </w:p>
    <w:p w14:paraId="5642E5F7">
      <w:pPr>
        <w:spacing w:after="156" w:afterLines="50" w:line="360" w:lineRule="auto"/>
        <w:ind w:firstLine="480" w:firstLineChars="200"/>
      </w:pPr>
      <w:r>
        <w:rPr>
          <w:rFonts w:hint="eastAsia"/>
        </w:rPr>
        <w:t>2. 简答题：约占25%</w:t>
      </w:r>
    </w:p>
    <w:p w14:paraId="794724B6">
      <w:pPr>
        <w:spacing w:after="156" w:afterLines="50" w:line="360" w:lineRule="auto"/>
        <w:ind w:firstLine="480" w:firstLineChars="200"/>
      </w:pPr>
      <w:r>
        <w:rPr>
          <w:rFonts w:hint="eastAsia"/>
        </w:rPr>
        <w:t>3. 论述题：约占30%</w:t>
      </w:r>
    </w:p>
    <w:p w14:paraId="5B5680C5">
      <w:pPr>
        <w:spacing w:after="156" w:afterLines="50" w:line="360" w:lineRule="auto"/>
        <w:ind w:firstLine="480" w:firstLineChars="200"/>
      </w:pPr>
      <w:r>
        <w:rPr>
          <w:rFonts w:hint="eastAsia"/>
        </w:rPr>
        <w:t>4. 案例分析题：约占25%</w:t>
      </w:r>
    </w:p>
    <w:p w14:paraId="652FFAA4">
      <w:pPr>
        <w:pStyle w:val="4"/>
      </w:pPr>
      <w:r>
        <w:rPr>
          <w:rFonts w:hint="eastAsia"/>
        </w:rPr>
        <w:t>三、主要参考书目</w:t>
      </w:r>
      <w:bookmarkStart w:id="0" w:name="_GoBack"/>
      <w:bookmarkEnd w:id="0"/>
    </w:p>
    <w:p w14:paraId="2C0EC025">
      <w:pPr>
        <w:spacing w:after="156" w:afterLines="50" w:line="360" w:lineRule="auto"/>
        <w:ind w:firstLine="480" w:firstLineChars="200"/>
      </w:pPr>
      <w:r>
        <w:rPr>
          <w:rFonts w:hint="eastAsia"/>
        </w:rPr>
        <w:t>国家新闻出版署出版专业资格考试办公室：《出版专业职业资格考试教材·出版专业实务（中级）》（2020年版），商务印书馆，2020年。</w:t>
      </w:r>
    </w:p>
    <w:p w14:paraId="20AF9613">
      <w:pPr>
        <w:spacing w:after="156" w:afterLines="50" w:line="360" w:lineRule="auto"/>
      </w:pPr>
    </w:p>
    <w:p w14:paraId="2D565550">
      <w:pPr>
        <w:pStyle w:val="3"/>
        <w:spacing w:after="156" w:afterLines="50"/>
        <w:jc w:val="center"/>
      </w:pPr>
      <w:r>
        <w:rPr>
          <w:rFonts w:hint="eastAsia" w:ascii="黑体" w:hAnsi="黑体" w:eastAsia="黑体" w:cs="黑体"/>
          <w:sz w:val="28"/>
          <w:szCs w:val="28"/>
        </w:rPr>
        <w:t>第二部分 考试范围与要点</w:t>
      </w:r>
    </w:p>
    <w:p w14:paraId="755A13D2">
      <w:pPr>
        <w:spacing w:after="156" w:afterLines="50" w:line="360" w:lineRule="auto"/>
      </w:pPr>
      <w:r>
        <w:rPr>
          <w:rFonts w:hint="eastAsia"/>
        </w:rPr>
        <w:t>（一）选题与选题策划</w:t>
      </w:r>
    </w:p>
    <w:p w14:paraId="05639F78">
      <w:pPr>
        <w:spacing w:after="156" w:afterLines="50" w:line="360" w:lineRule="auto"/>
      </w:pPr>
      <w:r>
        <w:rPr>
          <w:rFonts w:hint="eastAsia"/>
        </w:rPr>
        <w:t>（二）选题策划的基本步骤</w:t>
      </w:r>
    </w:p>
    <w:p w14:paraId="37D2ED7D">
      <w:pPr>
        <w:spacing w:after="156" w:afterLines="50" w:line="360" w:lineRule="auto"/>
      </w:pPr>
      <w:r>
        <w:rPr>
          <w:rFonts w:hint="eastAsia"/>
        </w:rPr>
        <w:t>（三）图书编辑</w:t>
      </w:r>
    </w:p>
    <w:p w14:paraId="4A8876D2">
      <w:pPr>
        <w:spacing w:after="156" w:afterLines="50" w:line="360" w:lineRule="auto"/>
      </w:pPr>
      <w:r>
        <w:rPr>
          <w:rFonts w:hint="eastAsia"/>
        </w:rPr>
        <w:t>（四）期刊出版</w:t>
      </w:r>
    </w:p>
    <w:p w14:paraId="309E546A">
      <w:pPr>
        <w:spacing w:after="156" w:afterLines="50" w:line="360" w:lineRule="auto"/>
      </w:pPr>
      <w:r>
        <w:rPr>
          <w:rFonts w:hint="eastAsia"/>
        </w:rPr>
        <w:t>（五）书刊形态设计</w:t>
      </w:r>
    </w:p>
    <w:p w14:paraId="13C2023B">
      <w:pPr>
        <w:spacing w:after="156" w:afterLines="50" w:line="360" w:lineRule="auto"/>
      </w:pPr>
      <w:r>
        <w:rPr>
          <w:rFonts w:hint="eastAsia"/>
        </w:rPr>
        <w:t>（六）图书文字版式设计</w:t>
      </w:r>
    </w:p>
    <w:p w14:paraId="276D88E0">
      <w:pPr>
        <w:spacing w:after="156" w:afterLines="50" w:line="360" w:lineRule="auto"/>
      </w:pPr>
      <w:r>
        <w:rPr>
          <w:rFonts w:hint="eastAsia"/>
        </w:rPr>
        <w:t>（七）期刊文字版式设计的特点</w:t>
      </w:r>
    </w:p>
    <w:p w14:paraId="64F45251">
      <w:pPr>
        <w:spacing w:after="156" w:afterLines="50" w:line="360" w:lineRule="auto"/>
      </w:pPr>
      <w:r>
        <w:rPr>
          <w:rFonts w:hint="eastAsia"/>
        </w:rPr>
        <w:t>（八）校对工作的规范和程序</w:t>
      </w:r>
    </w:p>
    <w:p w14:paraId="1AA817A8">
      <w:pPr>
        <w:spacing w:after="156" w:afterLines="50" w:line="360" w:lineRule="auto"/>
      </w:pPr>
      <w:r>
        <w:rPr>
          <w:rFonts w:hint="eastAsia"/>
        </w:rPr>
        <w:t>（九）校对职责与校对管理</w:t>
      </w:r>
    </w:p>
    <w:p w14:paraId="63BF0FF2">
      <w:pPr>
        <w:spacing w:after="156" w:afterLines="50" w:line="360" w:lineRule="auto"/>
      </w:pPr>
      <w:r>
        <w:rPr>
          <w:rFonts w:hint="eastAsia"/>
        </w:rPr>
        <w:t>（十）校对软件应用与人机结合校对模式</w:t>
      </w:r>
    </w:p>
    <w:p w14:paraId="5DAA6D23">
      <w:pPr>
        <w:spacing w:after="156" w:afterLines="50" w:line="360" w:lineRule="auto"/>
      </w:pPr>
      <w:r>
        <w:rPr>
          <w:rFonts w:hint="eastAsia"/>
        </w:rPr>
        <w:t>（十一）书刊印制常用专业用语</w:t>
      </w:r>
    </w:p>
    <w:p w14:paraId="44A22368">
      <w:pPr>
        <w:spacing w:after="156" w:afterLines="50" w:line="360" w:lineRule="auto"/>
      </w:pPr>
      <w:r>
        <w:rPr>
          <w:rFonts w:hint="eastAsia"/>
        </w:rPr>
        <w:t>（十二）书刊的印刷与装订</w:t>
      </w:r>
    </w:p>
    <w:p w14:paraId="57743605">
      <w:pPr>
        <w:spacing w:after="156" w:afterLines="50" w:line="360" w:lineRule="auto"/>
      </w:pPr>
      <w:r>
        <w:rPr>
          <w:rFonts w:hint="eastAsia"/>
        </w:rPr>
        <w:t>（十三）书刊印制费用</w:t>
      </w:r>
    </w:p>
    <w:p w14:paraId="3D144074">
      <w:pPr>
        <w:spacing w:after="156" w:afterLines="50" w:line="360" w:lineRule="auto"/>
      </w:pPr>
      <w:r>
        <w:rPr>
          <w:rFonts w:hint="eastAsia"/>
        </w:rPr>
        <w:t>（十四）音像制品的概念、类别、特点及发展趋势</w:t>
      </w:r>
    </w:p>
    <w:p w14:paraId="25FA8453">
      <w:pPr>
        <w:spacing w:after="156" w:afterLines="50" w:line="360" w:lineRule="auto"/>
      </w:pPr>
      <w:r>
        <w:rPr>
          <w:rFonts w:hint="eastAsia"/>
        </w:rPr>
        <w:t>（十五）国家关于音像制品管理的规定</w:t>
      </w:r>
    </w:p>
    <w:p w14:paraId="513BED6D">
      <w:pPr>
        <w:spacing w:after="156" w:afterLines="50" w:line="360" w:lineRule="auto"/>
      </w:pPr>
      <w:r>
        <w:rPr>
          <w:rFonts w:hint="eastAsia"/>
        </w:rPr>
        <w:t>（十六）电子出版物的概念、类别、主要载体及特点</w:t>
      </w:r>
    </w:p>
    <w:p w14:paraId="5DB5AF8E">
      <w:pPr>
        <w:spacing w:after="156" w:afterLines="50" w:line="360" w:lineRule="auto"/>
      </w:pPr>
      <w:r>
        <w:rPr>
          <w:rFonts w:hint="eastAsia"/>
        </w:rPr>
        <w:t>（十七）国家关于电子出版物的特有规定</w:t>
      </w:r>
    </w:p>
    <w:p w14:paraId="724B7BC2">
      <w:pPr>
        <w:spacing w:after="156" w:afterLines="50" w:line="360" w:lineRule="auto"/>
      </w:pPr>
      <w:r>
        <w:rPr>
          <w:rFonts w:hint="eastAsia"/>
        </w:rPr>
        <w:t>（十八）对电子出版物编辑人员的要求</w:t>
      </w:r>
    </w:p>
    <w:p w14:paraId="79EA7359">
      <w:pPr>
        <w:spacing w:after="156" w:afterLines="50" w:line="360" w:lineRule="auto"/>
      </w:pPr>
      <w:r>
        <w:rPr>
          <w:rFonts w:hint="eastAsia"/>
        </w:rPr>
        <w:t>（十九）电子出版物的编辑制作流程</w:t>
      </w:r>
    </w:p>
    <w:p w14:paraId="4CAF4B3C">
      <w:pPr>
        <w:spacing w:after="156" w:afterLines="50" w:line="360" w:lineRule="auto"/>
      </w:pPr>
      <w:r>
        <w:rPr>
          <w:rFonts w:hint="eastAsia"/>
        </w:rPr>
        <w:t>（二十）出版物的成本与定价</w:t>
      </w:r>
    </w:p>
    <w:p w14:paraId="4256D7C8">
      <w:pPr>
        <w:spacing w:after="156" w:afterLines="50" w:line="360" w:lineRule="auto"/>
      </w:pPr>
      <w:r>
        <w:rPr>
          <w:rFonts w:hint="eastAsia"/>
        </w:rPr>
        <w:t>（二十一）著作权贸易与国际出版合作</w:t>
      </w:r>
    </w:p>
    <w:sectPr>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E0"/>
    <w:rsid w:val="000272E8"/>
    <w:rsid w:val="00027538"/>
    <w:rsid w:val="00061ADE"/>
    <w:rsid w:val="000A6757"/>
    <w:rsid w:val="0013189B"/>
    <w:rsid w:val="001D4813"/>
    <w:rsid w:val="00207BBA"/>
    <w:rsid w:val="0025227E"/>
    <w:rsid w:val="0026565D"/>
    <w:rsid w:val="002754A0"/>
    <w:rsid w:val="0029202C"/>
    <w:rsid w:val="003B64A8"/>
    <w:rsid w:val="003B7DE0"/>
    <w:rsid w:val="003D03AD"/>
    <w:rsid w:val="00413DA2"/>
    <w:rsid w:val="004C4FE6"/>
    <w:rsid w:val="00527FF4"/>
    <w:rsid w:val="005B6E4E"/>
    <w:rsid w:val="00620F01"/>
    <w:rsid w:val="006457F4"/>
    <w:rsid w:val="00661043"/>
    <w:rsid w:val="006B3A5A"/>
    <w:rsid w:val="006C53BF"/>
    <w:rsid w:val="006F19CA"/>
    <w:rsid w:val="0084008F"/>
    <w:rsid w:val="008918D7"/>
    <w:rsid w:val="0089668E"/>
    <w:rsid w:val="00913899"/>
    <w:rsid w:val="00916F2D"/>
    <w:rsid w:val="009A777D"/>
    <w:rsid w:val="009D0A80"/>
    <w:rsid w:val="009F4089"/>
    <w:rsid w:val="00A7623B"/>
    <w:rsid w:val="00A835E1"/>
    <w:rsid w:val="00A83C70"/>
    <w:rsid w:val="00AA53BF"/>
    <w:rsid w:val="00AA5B26"/>
    <w:rsid w:val="00BC022A"/>
    <w:rsid w:val="00BD2645"/>
    <w:rsid w:val="00C05EDD"/>
    <w:rsid w:val="00C304DA"/>
    <w:rsid w:val="00C35736"/>
    <w:rsid w:val="00C81717"/>
    <w:rsid w:val="00CA7F98"/>
    <w:rsid w:val="00CB6C44"/>
    <w:rsid w:val="00CC64D9"/>
    <w:rsid w:val="00CC7DB0"/>
    <w:rsid w:val="00DC6ADA"/>
    <w:rsid w:val="00DE4E9B"/>
    <w:rsid w:val="00E319B8"/>
    <w:rsid w:val="00E5332D"/>
    <w:rsid w:val="00E83468"/>
    <w:rsid w:val="00EF4C3C"/>
    <w:rsid w:val="00F6644F"/>
    <w:rsid w:val="00FD14E2"/>
    <w:rsid w:val="1C522598"/>
    <w:rsid w:val="2452709C"/>
    <w:rsid w:val="338B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1"/>
    <w:qFormat/>
    <w:uiPriority w:val="9"/>
    <w:pPr>
      <w:keepNext/>
      <w:keepLines/>
      <w:spacing w:line="360" w:lineRule="auto"/>
      <w:outlineLvl w:val="0"/>
    </w:pPr>
    <w:rPr>
      <w:b/>
      <w:bCs/>
      <w:kern w:val="44"/>
      <w:sz w:val="28"/>
      <w:szCs w:val="44"/>
    </w:rPr>
  </w:style>
  <w:style w:type="paragraph" w:styleId="3">
    <w:name w:val="heading 2"/>
    <w:basedOn w:val="1"/>
    <w:next w:val="1"/>
    <w:link w:val="12"/>
    <w:autoRedefine/>
    <w:unhideWhenUsed/>
    <w:qFormat/>
    <w:uiPriority w:val="0"/>
    <w:pPr>
      <w:keepNext/>
      <w:keepLines/>
      <w:spacing w:line="360" w:lineRule="auto"/>
      <w:outlineLvl w:val="1"/>
    </w:pPr>
    <w:rPr>
      <w:b/>
      <w:bCs/>
      <w:kern w:val="0"/>
      <w:szCs w:val="20"/>
    </w:rPr>
  </w:style>
  <w:style w:type="paragraph" w:styleId="4">
    <w:name w:val="heading 3"/>
    <w:basedOn w:val="1"/>
    <w:next w:val="1"/>
    <w:link w:val="13"/>
    <w:autoRedefine/>
    <w:unhideWhenUsed/>
    <w:qFormat/>
    <w:uiPriority w:val="0"/>
    <w:pPr>
      <w:keepNext/>
      <w:keepLines/>
      <w:spacing w:line="360" w:lineRule="auto"/>
      <w:outlineLvl w:val="2"/>
    </w:pPr>
    <w:rPr>
      <w:b/>
      <w:bCs/>
      <w:szCs w:val="32"/>
    </w:rPr>
  </w:style>
  <w:style w:type="paragraph" w:styleId="5">
    <w:name w:val="heading 4"/>
    <w:basedOn w:val="1"/>
    <w:next w:val="1"/>
    <w:link w:val="14"/>
    <w:autoRedefine/>
    <w:unhideWhenUsed/>
    <w:qFormat/>
    <w:uiPriority w:val="9"/>
    <w:pPr>
      <w:keepNext/>
      <w:keepLines/>
      <w:ind w:firstLine="200" w:firstLineChars="200"/>
      <w:outlineLvl w:val="3"/>
    </w:pPr>
    <w:rPr>
      <w:rFonts w:cstheme="majorBidi"/>
      <w:bCs/>
      <w:szCs w:val="28"/>
    </w:rPr>
  </w:style>
  <w:style w:type="paragraph" w:styleId="6">
    <w:name w:val="heading 5"/>
    <w:basedOn w:val="1"/>
    <w:next w:val="1"/>
    <w:link w:val="15"/>
    <w:autoRedefine/>
    <w:semiHidden/>
    <w:unhideWhenUsed/>
    <w:qFormat/>
    <w:uiPriority w:val="9"/>
    <w:pPr>
      <w:keepNext/>
      <w:keepLines/>
      <w:spacing w:line="360" w:lineRule="auto"/>
      <w:ind w:firstLine="200" w:firstLineChars="200"/>
      <w:outlineLvl w:val="4"/>
    </w:pPr>
    <w:rPr>
      <w:bCs/>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7">
    <w:name w:val="footer"/>
    <w:basedOn w:val="1"/>
    <w:link w:val="18"/>
    <w:unhideWhenUsed/>
    <w:uiPriority w:val="99"/>
    <w:pPr>
      <w:tabs>
        <w:tab w:val="center" w:pos="4153"/>
        <w:tab w:val="right" w:pos="8306"/>
      </w:tabs>
      <w:snapToGrid w:val="0"/>
      <w:spacing w:line="240" w:lineRule="auto"/>
      <w:jc w:val="left"/>
    </w:pPr>
    <w:rPr>
      <w:sz w:val="18"/>
      <w:szCs w:val="18"/>
    </w:rPr>
  </w:style>
  <w:style w:type="paragraph" w:styleId="8">
    <w:name w:val="header"/>
    <w:basedOn w:val="1"/>
    <w:link w:val="17"/>
    <w:unhideWhenUsed/>
    <w:uiPriority w:val="99"/>
    <w:pPr>
      <w:tabs>
        <w:tab w:val="center" w:pos="4153"/>
        <w:tab w:val="right" w:pos="8306"/>
      </w:tabs>
      <w:snapToGrid w:val="0"/>
      <w:spacing w:line="240" w:lineRule="auto"/>
      <w:jc w:val="center"/>
    </w:pPr>
    <w:rPr>
      <w:sz w:val="18"/>
      <w:szCs w:val="18"/>
    </w:rPr>
  </w:style>
  <w:style w:type="character" w:customStyle="1" w:styleId="11">
    <w:name w:val="标题 1 字符"/>
    <w:basedOn w:val="10"/>
    <w:link w:val="2"/>
    <w:uiPriority w:val="9"/>
    <w:rPr>
      <w:rFonts w:ascii="Times New Roman" w:hAnsi="Times New Roman" w:eastAsia="宋体"/>
      <w:b/>
      <w:bCs/>
      <w:kern w:val="44"/>
      <w:sz w:val="28"/>
      <w:szCs w:val="44"/>
    </w:rPr>
  </w:style>
  <w:style w:type="character" w:customStyle="1" w:styleId="12">
    <w:name w:val="标题 2 字符"/>
    <w:link w:val="3"/>
    <w:qFormat/>
    <w:uiPriority w:val="0"/>
    <w:rPr>
      <w:rFonts w:ascii="Times New Roman" w:hAnsi="Times New Roman" w:eastAsia="宋体"/>
      <w:b/>
      <w:bCs/>
      <w:kern w:val="0"/>
      <w:sz w:val="24"/>
      <w:szCs w:val="20"/>
    </w:rPr>
  </w:style>
  <w:style w:type="character" w:customStyle="1" w:styleId="13">
    <w:name w:val="标题 3 字符"/>
    <w:link w:val="4"/>
    <w:uiPriority w:val="0"/>
    <w:rPr>
      <w:rFonts w:ascii="Times New Roman" w:hAnsi="Times New Roman" w:eastAsia="宋体"/>
      <w:b/>
      <w:bCs/>
      <w:sz w:val="24"/>
      <w:szCs w:val="32"/>
    </w:rPr>
  </w:style>
  <w:style w:type="character" w:customStyle="1" w:styleId="14">
    <w:name w:val="标题 4 字符"/>
    <w:basedOn w:val="10"/>
    <w:link w:val="5"/>
    <w:uiPriority w:val="9"/>
    <w:rPr>
      <w:rFonts w:ascii="Times New Roman" w:hAnsi="Times New Roman" w:eastAsia="宋体" w:cstheme="majorBidi"/>
      <w:bCs/>
      <w:sz w:val="24"/>
      <w:szCs w:val="28"/>
    </w:rPr>
  </w:style>
  <w:style w:type="character" w:customStyle="1" w:styleId="15">
    <w:name w:val="标题 5 字符"/>
    <w:basedOn w:val="10"/>
    <w:link w:val="6"/>
    <w:semiHidden/>
    <w:uiPriority w:val="9"/>
    <w:rPr>
      <w:rFonts w:ascii="Times New Roman" w:hAnsi="Times New Roman" w:eastAsia="宋体"/>
      <w:bCs/>
      <w:sz w:val="24"/>
      <w:szCs w:val="28"/>
    </w:rPr>
  </w:style>
  <w:style w:type="table" w:customStyle="1" w:styleId="16">
    <w:name w:val="无格式表格 31"/>
    <w:basedOn w:val="9"/>
    <w:uiPriority w:val="43"/>
    <w:pPr>
      <w:jc w:val="center"/>
    </w:pPr>
    <w:rPr>
      <w:rFonts w:eastAsia="仿宋"/>
    </w:rPr>
    <w:tcPr>
      <w:vAlign w:val="center"/>
    </w:tc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17">
    <w:name w:val="页眉 字符"/>
    <w:basedOn w:val="10"/>
    <w:link w:val="8"/>
    <w:uiPriority w:val="99"/>
    <w:rPr>
      <w:rFonts w:ascii="Times New Roman" w:hAnsi="Times New Roman" w:eastAsia="宋体"/>
      <w:sz w:val="18"/>
      <w:szCs w:val="18"/>
    </w:rPr>
  </w:style>
  <w:style w:type="character" w:customStyle="1" w:styleId="18">
    <w:name w:val="页脚 字符"/>
    <w:basedOn w:val="10"/>
    <w:link w:val="7"/>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744</Words>
  <Characters>769</Characters>
  <Lines>5</Lines>
  <Paragraphs>1</Paragraphs>
  <TotalTime>5</TotalTime>
  <ScaleCrop>false</ScaleCrop>
  <LinksUpToDate>false</LinksUpToDate>
  <CharactersWithSpaces>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2025-07-03T08:28:00Z</dcterms:created>
  <dc:creator>YP L</dc:creator>
  <cp:lastModifiedBy>钟琰</cp:lastModifiedBy>
  <dcterms:modified xsi:type="dcterms:W3CDTF">2025-07-03T08:51:08Z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eyJoZGlkIjoiZWIwOTMwYTZmMGYzMGM3YTQ1ZDE5M2U4MDM4YjNiMzEiLCJ1c2VySWQiOiI2NDI0MDA0NjQifQ==</vt:lpwstr>
  </property>
  <property fmtid="{D5CDD505-2E9C-101B-9397-08002B2CF9AE}" pid="3" name="KSOProductBuildVer">
    <vt:lpwstr>2052-12.1.0.21915</vt:lpwstr>
  </property>
  <property fmtid="{D5CDD505-2E9C-101B-9397-08002B2CF9AE}" pid="4" name="ICV">
    <vt:lpwstr>B30EC1830E6E4A81A961126090D6029D_12</vt:lpwstr>
  </property>
</Properties>
</file>